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06DBF" w14:textId="14714649" w:rsidR="0005106C" w:rsidRPr="0005106C" w:rsidRDefault="0005106C" w:rsidP="0005106C">
      <w:pPr>
        <w:pStyle w:val="Standard"/>
        <w:rPr>
          <w:rFonts w:asciiTheme="minorBidi" w:hAnsiTheme="minorBidi" w:cstheme="minorBidi"/>
          <w:b/>
          <w:bCs/>
          <w:u w:val="single"/>
        </w:rPr>
      </w:pPr>
      <w:r w:rsidRPr="0005106C">
        <w:rPr>
          <w:rFonts w:asciiTheme="minorBidi" w:hAnsiTheme="minorBidi" w:cstheme="minorBidi"/>
          <w:b/>
          <w:bCs/>
          <w:u w:val="single"/>
        </w:rPr>
        <w:t xml:space="preserve">Summary of </w:t>
      </w:r>
      <w:proofErr w:type="spellStart"/>
      <w:r w:rsidRPr="0005106C">
        <w:rPr>
          <w:rFonts w:asciiTheme="minorBidi" w:hAnsiTheme="minorBidi" w:cstheme="minorBidi"/>
          <w:b/>
          <w:bCs/>
          <w:u w:val="single"/>
        </w:rPr>
        <w:t>IronMountain</w:t>
      </w:r>
      <w:proofErr w:type="spellEnd"/>
      <w:r w:rsidRPr="0005106C">
        <w:rPr>
          <w:rFonts w:asciiTheme="minorBidi" w:hAnsiTheme="minorBidi" w:cstheme="minorBidi"/>
          <w:b/>
          <w:bCs/>
          <w:u w:val="single"/>
        </w:rPr>
        <w:t xml:space="preserve"> Legal Framework</w:t>
      </w:r>
    </w:p>
    <w:p w14:paraId="58A22075" w14:textId="77777777" w:rsidR="0005106C" w:rsidRPr="0005106C" w:rsidRDefault="0005106C" w:rsidP="0005106C">
      <w:pPr>
        <w:pStyle w:val="Standard"/>
        <w:rPr>
          <w:rFonts w:asciiTheme="minorBidi" w:hAnsiTheme="minorBidi" w:cstheme="minorBidi"/>
        </w:rPr>
      </w:pPr>
    </w:p>
    <w:p w14:paraId="6FE4E33C" w14:textId="1AF23F6A"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Expanding upon the initial synopsis, the detailed overview below elaborates on the intricate aspects of the agreement between the bank and its data management service provider, emphasizing the comprehensive scope of services, </w:t>
      </w:r>
      <w:r w:rsidRPr="0005106C">
        <w:rPr>
          <w:rFonts w:asciiTheme="minorBidi" w:hAnsiTheme="minorBidi" w:cstheme="minorBidi"/>
        </w:rPr>
        <w:t>contractual obligations, data protection measures, and the financial structure underpinning this partnership.</w:t>
      </w:r>
    </w:p>
    <w:p w14:paraId="3AEE7B38" w14:textId="77777777" w:rsidR="00DE5898" w:rsidRPr="0005106C" w:rsidRDefault="00DE5898">
      <w:pPr>
        <w:pStyle w:val="Standard"/>
        <w:rPr>
          <w:rFonts w:asciiTheme="minorBidi" w:hAnsiTheme="minorBidi" w:cstheme="minorBidi"/>
        </w:rPr>
      </w:pPr>
    </w:p>
    <w:p w14:paraId="69F9E816" w14:textId="66AB64C7"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Expanded Synopsis:</w:t>
      </w:r>
    </w:p>
    <w:p w14:paraId="33497E8B" w14:textId="77777777" w:rsidR="00DE5898" w:rsidRPr="0005106C" w:rsidRDefault="00DE5898">
      <w:pPr>
        <w:pStyle w:val="Standard"/>
        <w:rPr>
          <w:rFonts w:asciiTheme="minorBidi" w:hAnsiTheme="minorBidi" w:cstheme="minorBidi"/>
        </w:rPr>
      </w:pPr>
    </w:p>
    <w:p w14:paraId="25885937"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The contractual framework established between the bank (referred to as the "Customer") and its data management service pr</w:t>
      </w:r>
      <w:r w:rsidRPr="0005106C">
        <w:rPr>
          <w:rFonts w:asciiTheme="minorBidi" w:hAnsiTheme="minorBidi" w:cstheme="minorBidi"/>
        </w:rPr>
        <w:t>ovider (referred to as the "Supplier") is multifaceted, addressing a wide range of services tailored to meet the bank's stringent data management, storage, and security requirements. This framework is not only designed to facilitate the operational needs o</w:t>
      </w:r>
      <w:r w:rsidRPr="0005106C">
        <w:rPr>
          <w:rFonts w:asciiTheme="minorBidi" w:hAnsiTheme="minorBidi" w:cstheme="minorBidi"/>
        </w:rPr>
        <w:t>f the bank but also to ensure compliance with the prevailing regulatory landscape governing financial institutions and data handlers.</w:t>
      </w:r>
    </w:p>
    <w:p w14:paraId="7AD347BA" w14:textId="77777777" w:rsidR="00DE5898" w:rsidRPr="0005106C" w:rsidRDefault="00DE5898">
      <w:pPr>
        <w:pStyle w:val="Standard"/>
        <w:rPr>
          <w:rFonts w:asciiTheme="minorBidi" w:hAnsiTheme="minorBidi" w:cstheme="minorBidi"/>
        </w:rPr>
      </w:pPr>
    </w:p>
    <w:p w14:paraId="1673A5FB" w14:textId="58460C6B"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Detailed Service Provision:</w:t>
      </w:r>
    </w:p>
    <w:p w14:paraId="6DB347F3" w14:textId="77777777" w:rsidR="00DE5898" w:rsidRPr="0005106C" w:rsidRDefault="00DE5898">
      <w:pPr>
        <w:pStyle w:val="Standard"/>
        <w:rPr>
          <w:rFonts w:asciiTheme="minorBidi" w:hAnsiTheme="minorBidi" w:cstheme="minorBidi"/>
        </w:rPr>
      </w:pPr>
    </w:p>
    <w:p w14:paraId="11DC3735" w14:textId="108F2D85"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Storage and Management of Media:</w:t>
      </w:r>
    </w:p>
    <w:p w14:paraId="483E9E88"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The Supplier is tasked with maintaining a secure</w:t>
      </w:r>
      <w:r w:rsidRPr="0005106C">
        <w:rPr>
          <w:rFonts w:asciiTheme="minorBidi" w:hAnsiTheme="minorBidi" w:cstheme="minorBidi"/>
        </w:rPr>
        <w:t xml:space="preserve"> and suitable environment for the storage of the Customer's media, ensuring that the media are accessible and managed in accordance with the agreed terms. The storage can be container-based or individual, depending on the bank's preferences, impacting the </w:t>
      </w:r>
      <w:r w:rsidRPr="0005106C">
        <w:rPr>
          <w:rFonts w:asciiTheme="minorBidi" w:hAnsiTheme="minorBidi" w:cstheme="minorBidi"/>
        </w:rPr>
        <w:t>liability and withdrawal charges accordingly.</w:t>
      </w:r>
    </w:p>
    <w:p w14:paraId="25549CAD" w14:textId="77777777" w:rsidR="00DE5898" w:rsidRPr="0005106C" w:rsidRDefault="00DE5898">
      <w:pPr>
        <w:pStyle w:val="Standard"/>
        <w:rPr>
          <w:rFonts w:asciiTheme="minorBidi" w:hAnsiTheme="minorBidi" w:cstheme="minorBidi"/>
        </w:rPr>
      </w:pPr>
    </w:p>
    <w:p w14:paraId="3A0B6773" w14:textId="5FD210F8"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Receipt and Cataloging:</w:t>
      </w:r>
    </w:p>
    <w:p w14:paraId="628C6F02"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Upon receiving new media, the Supplier is responsible for ingesting provided metadata into their tracking systems, ensuring accurate location allocation within their vaults, and </w:t>
      </w:r>
      <w:r w:rsidRPr="0005106C">
        <w:rPr>
          <w:rFonts w:asciiTheme="minorBidi" w:hAnsiTheme="minorBidi" w:cstheme="minorBidi"/>
        </w:rPr>
        <w:t>maintaining meticulous records for easy retrieval.</w:t>
      </w:r>
    </w:p>
    <w:p w14:paraId="408B7D76" w14:textId="77777777" w:rsidR="00DE5898" w:rsidRPr="0005106C" w:rsidRDefault="00DE5898">
      <w:pPr>
        <w:pStyle w:val="Standard"/>
        <w:rPr>
          <w:rFonts w:asciiTheme="minorBidi" w:hAnsiTheme="minorBidi" w:cstheme="minorBidi"/>
        </w:rPr>
      </w:pPr>
    </w:p>
    <w:p w14:paraId="4258FA9F" w14:textId="18E1E924"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Handling and Transportation:</w:t>
      </w:r>
    </w:p>
    <w:p w14:paraId="6A938F09"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A nuanced handling protocol is outlined for media movement, encompassing scheduled, ad-hoc, and emergency deliveries and collections, each governed by predefined proced</w:t>
      </w:r>
      <w:r w:rsidRPr="0005106C">
        <w:rPr>
          <w:rFonts w:asciiTheme="minorBidi" w:hAnsiTheme="minorBidi" w:cstheme="minorBidi"/>
        </w:rPr>
        <w:t>ures and charges. This includes disaster recovery provisions, ensuring rapid response capabilities in critical situations.</w:t>
      </w:r>
    </w:p>
    <w:p w14:paraId="39E32DFA" w14:textId="77777777" w:rsidR="00DE5898" w:rsidRPr="0005106C" w:rsidRDefault="00DE5898">
      <w:pPr>
        <w:pStyle w:val="Standard"/>
        <w:rPr>
          <w:rFonts w:asciiTheme="minorBidi" w:hAnsiTheme="minorBidi" w:cstheme="minorBidi"/>
        </w:rPr>
      </w:pPr>
    </w:p>
    <w:p w14:paraId="5B67A443" w14:textId="5508E2A5"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Compliance and Data Protection:</w:t>
      </w:r>
    </w:p>
    <w:p w14:paraId="32159361" w14:textId="77777777" w:rsidR="00DE5898" w:rsidRPr="0005106C" w:rsidRDefault="00DE5898">
      <w:pPr>
        <w:pStyle w:val="Standard"/>
        <w:rPr>
          <w:rFonts w:asciiTheme="minorBidi" w:hAnsiTheme="minorBidi" w:cstheme="minorBidi"/>
        </w:rPr>
      </w:pPr>
    </w:p>
    <w:p w14:paraId="00C3BF71" w14:textId="2DB9C4E6"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Data Processing Agreement (DPA):</w:t>
      </w:r>
    </w:p>
    <w:p w14:paraId="7094054D"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Integral to the agreement is the DPA, which </w:t>
      </w:r>
      <w:r w:rsidRPr="0005106C">
        <w:rPr>
          <w:rFonts w:asciiTheme="minorBidi" w:hAnsiTheme="minorBidi" w:cstheme="minorBidi"/>
        </w:rPr>
        <w:t>delineates the data protection and processing obligations aligned with the UK GDPR, detailing the use, confidentiality, integrity, and availability of personal data, along with breach notification protocols.</w:t>
      </w:r>
    </w:p>
    <w:p w14:paraId="799C3E1A" w14:textId="77777777" w:rsidR="00DE5898" w:rsidRPr="0005106C" w:rsidRDefault="00DE5898">
      <w:pPr>
        <w:pStyle w:val="Standard"/>
        <w:rPr>
          <w:rFonts w:asciiTheme="minorBidi" w:hAnsiTheme="minorBidi" w:cstheme="minorBidi"/>
        </w:rPr>
      </w:pPr>
    </w:p>
    <w:p w14:paraId="7A075CCF" w14:textId="4AC37595"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Audit and Compliance:</w:t>
      </w:r>
    </w:p>
    <w:p w14:paraId="07806AA9"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The bank retains t</w:t>
      </w:r>
      <w:r w:rsidRPr="0005106C">
        <w:rPr>
          <w:rFonts w:asciiTheme="minorBidi" w:hAnsiTheme="minorBidi" w:cstheme="minorBidi"/>
        </w:rPr>
        <w:t>he right to audit the Supplier's adherence to the agreement and data protection standards, ensuring transparency and accountability in the handling of sensitive information.</w:t>
      </w:r>
    </w:p>
    <w:p w14:paraId="648899CD" w14:textId="77777777" w:rsidR="00DE5898" w:rsidRPr="0005106C" w:rsidRDefault="00DE5898">
      <w:pPr>
        <w:pStyle w:val="Standard"/>
        <w:rPr>
          <w:rFonts w:asciiTheme="minorBidi" w:hAnsiTheme="minorBidi" w:cstheme="minorBidi"/>
        </w:rPr>
      </w:pPr>
    </w:p>
    <w:p w14:paraId="67814774" w14:textId="11D7D320"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Financial Framework:</w:t>
      </w:r>
    </w:p>
    <w:p w14:paraId="659F2240" w14:textId="77777777" w:rsidR="00DE5898" w:rsidRPr="0005106C" w:rsidRDefault="00DE5898">
      <w:pPr>
        <w:pStyle w:val="Standard"/>
        <w:rPr>
          <w:rFonts w:asciiTheme="minorBidi" w:hAnsiTheme="minorBidi" w:cstheme="minorBidi"/>
        </w:rPr>
      </w:pPr>
    </w:p>
    <w:p w14:paraId="24F1EDC8" w14:textId="4782C0A7" w:rsidR="00DE5898" w:rsidRPr="0005106C" w:rsidRDefault="0005106C">
      <w:pPr>
        <w:pStyle w:val="Standard"/>
        <w:rPr>
          <w:rFonts w:asciiTheme="minorBidi" w:hAnsiTheme="minorBidi" w:cstheme="minorBidi"/>
        </w:rPr>
      </w:pPr>
      <w:r w:rsidRPr="0005106C">
        <w:rPr>
          <w:rFonts w:asciiTheme="minorBidi" w:hAnsiTheme="minorBidi" w:cstheme="minorBidi"/>
        </w:rPr>
        <w:lastRenderedPageBreak/>
        <w:t xml:space="preserve"> Service Fees:</w:t>
      </w:r>
    </w:p>
    <w:p w14:paraId="703BE726"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The financial obligations encompas</w:t>
      </w:r>
      <w:r w:rsidRPr="0005106C">
        <w:rPr>
          <w:rFonts w:asciiTheme="minorBidi" w:hAnsiTheme="minorBidi" w:cstheme="minorBidi"/>
        </w:rPr>
        <w:t>s a broad spectrum of services, including storage, handling, transportation, and special requests, with fees detailed in the Charges Schedule or negotiated separately.</w:t>
      </w:r>
    </w:p>
    <w:p w14:paraId="451F804F" w14:textId="77777777" w:rsidR="00DE5898" w:rsidRPr="0005106C" w:rsidRDefault="00DE5898">
      <w:pPr>
        <w:pStyle w:val="Standard"/>
        <w:rPr>
          <w:rFonts w:asciiTheme="minorBidi" w:hAnsiTheme="minorBidi" w:cstheme="minorBidi"/>
        </w:rPr>
      </w:pPr>
    </w:p>
    <w:p w14:paraId="648A38EE" w14:textId="7E25933E"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Administrative Charges:</w:t>
      </w:r>
    </w:p>
    <w:p w14:paraId="25B6E152"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The agreement accounts for administrative fees covering </w:t>
      </w:r>
      <w:r w:rsidRPr="0005106C">
        <w:rPr>
          <w:rFonts w:asciiTheme="minorBidi" w:hAnsiTheme="minorBidi" w:cstheme="minorBidi"/>
        </w:rPr>
        <w:t>account management, invoicing, and system access, ensuring the smooth operation of services rendered.</w:t>
      </w:r>
    </w:p>
    <w:p w14:paraId="73EEDEFA" w14:textId="77777777" w:rsidR="00DE5898" w:rsidRPr="0005106C" w:rsidRDefault="00DE5898">
      <w:pPr>
        <w:pStyle w:val="Standard"/>
        <w:rPr>
          <w:rFonts w:asciiTheme="minorBidi" w:hAnsiTheme="minorBidi" w:cstheme="minorBidi"/>
        </w:rPr>
      </w:pPr>
    </w:p>
    <w:p w14:paraId="2DED1502" w14:textId="028EA3CB"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Termination and Exit Charges:</w:t>
      </w:r>
    </w:p>
    <w:p w14:paraId="7B4BAEB0"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Provisions for agreement termination include exit charges applicable for the retrieval and permanent withdrawal of d</w:t>
      </w:r>
      <w:r w:rsidRPr="0005106C">
        <w:rPr>
          <w:rFonts w:asciiTheme="minorBidi" w:hAnsiTheme="minorBidi" w:cstheme="minorBidi"/>
        </w:rPr>
        <w:t>ata, ensuring a structured and financially transparent conclusion to the service period.</w:t>
      </w:r>
    </w:p>
    <w:p w14:paraId="21798249" w14:textId="77777777" w:rsidR="00DE5898" w:rsidRPr="0005106C" w:rsidRDefault="00DE5898">
      <w:pPr>
        <w:pStyle w:val="Standard"/>
        <w:rPr>
          <w:rFonts w:asciiTheme="minorBidi" w:hAnsiTheme="minorBidi" w:cstheme="minorBidi"/>
        </w:rPr>
      </w:pPr>
    </w:p>
    <w:p w14:paraId="4D87F72C" w14:textId="461450AC"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Liability and Indemnification:</w:t>
      </w:r>
    </w:p>
    <w:p w14:paraId="742225DA" w14:textId="77777777" w:rsidR="00DE5898" w:rsidRPr="0005106C" w:rsidRDefault="00DE5898">
      <w:pPr>
        <w:pStyle w:val="Standard"/>
        <w:rPr>
          <w:rFonts w:asciiTheme="minorBidi" w:hAnsiTheme="minorBidi" w:cstheme="minorBidi"/>
        </w:rPr>
      </w:pPr>
    </w:p>
    <w:p w14:paraId="5D13185A"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The agreement sets forth clear boundaries for liability, particularly in relation to data breaches and regulatory compliance, wi</w:t>
      </w:r>
      <w:r w:rsidRPr="0005106C">
        <w:rPr>
          <w:rFonts w:asciiTheme="minorBidi" w:hAnsiTheme="minorBidi" w:cstheme="minorBidi"/>
        </w:rPr>
        <w:t>th indemnification clauses protecting the bank from third-party claims arising from potential GDPR violations by the Supplier.</w:t>
      </w:r>
    </w:p>
    <w:p w14:paraId="409A0DC9" w14:textId="77777777" w:rsidR="00DE5898" w:rsidRPr="0005106C" w:rsidRDefault="00DE5898">
      <w:pPr>
        <w:pStyle w:val="Standard"/>
        <w:rPr>
          <w:rFonts w:asciiTheme="minorBidi" w:hAnsiTheme="minorBidi" w:cstheme="minorBidi"/>
        </w:rPr>
      </w:pPr>
    </w:p>
    <w:p w14:paraId="710FB0BB" w14:textId="1467A456"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Expanded Data Protection Measures:</w:t>
      </w:r>
    </w:p>
    <w:p w14:paraId="01FBF88A" w14:textId="77777777" w:rsidR="00DE5898" w:rsidRPr="0005106C" w:rsidRDefault="00DE5898">
      <w:pPr>
        <w:pStyle w:val="Standard"/>
        <w:rPr>
          <w:rFonts w:asciiTheme="minorBidi" w:hAnsiTheme="minorBidi" w:cstheme="minorBidi"/>
        </w:rPr>
      </w:pPr>
    </w:p>
    <w:p w14:paraId="3A7A6A53" w14:textId="352E565F"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w:t>
      </w:r>
      <w:proofErr w:type="spellStart"/>
      <w:r w:rsidRPr="0005106C">
        <w:rPr>
          <w:rFonts w:asciiTheme="minorBidi" w:hAnsiTheme="minorBidi" w:cstheme="minorBidi"/>
        </w:rPr>
        <w:t>Subprocessor</w:t>
      </w:r>
      <w:proofErr w:type="spellEnd"/>
      <w:r w:rsidRPr="0005106C">
        <w:rPr>
          <w:rFonts w:asciiTheme="minorBidi" w:hAnsiTheme="minorBidi" w:cstheme="minorBidi"/>
        </w:rPr>
        <w:t xml:space="preserve"> Engagement:</w:t>
      </w:r>
    </w:p>
    <w:p w14:paraId="054DC1BC"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The Supplier's authority to engage </w:t>
      </w:r>
      <w:proofErr w:type="spellStart"/>
      <w:r w:rsidRPr="0005106C">
        <w:rPr>
          <w:rFonts w:asciiTheme="minorBidi" w:hAnsiTheme="minorBidi" w:cstheme="minorBidi"/>
        </w:rPr>
        <w:t>subprocessors</w:t>
      </w:r>
      <w:proofErr w:type="spellEnd"/>
      <w:r w:rsidRPr="0005106C">
        <w:rPr>
          <w:rFonts w:asciiTheme="minorBidi" w:hAnsiTheme="minorBidi" w:cstheme="minorBidi"/>
        </w:rPr>
        <w:t xml:space="preserve"> comes w</w:t>
      </w:r>
      <w:r w:rsidRPr="0005106C">
        <w:rPr>
          <w:rFonts w:asciiTheme="minorBidi" w:hAnsiTheme="minorBidi" w:cstheme="minorBidi"/>
        </w:rPr>
        <w:t>ith stringent requirements for data protection safeguards, especially for data transfers outside the European Economic Area (EEA), ensuring compliance with international data transfer regulations.</w:t>
      </w:r>
    </w:p>
    <w:p w14:paraId="130DE9AB" w14:textId="77777777" w:rsidR="00DE5898" w:rsidRPr="0005106C" w:rsidRDefault="00DE5898">
      <w:pPr>
        <w:pStyle w:val="Standard"/>
        <w:rPr>
          <w:rFonts w:asciiTheme="minorBidi" w:hAnsiTheme="minorBidi" w:cstheme="minorBidi"/>
        </w:rPr>
      </w:pPr>
    </w:p>
    <w:p w14:paraId="17CA0A95" w14:textId="4DB45A1F"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Breach Notification and Mitigation:</w:t>
      </w:r>
    </w:p>
    <w:p w14:paraId="3D04B837"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 xml:space="preserve">- A robust </w:t>
      </w:r>
      <w:r w:rsidRPr="0005106C">
        <w:rPr>
          <w:rFonts w:asciiTheme="minorBidi" w:hAnsiTheme="minorBidi" w:cstheme="minorBidi"/>
        </w:rPr>
        <w:t>breach notification framework obligates the Supplier to promptly inform the bank of any data breaches, assisting in mitigating the adverse effects of such incidents.</w:t>
      </w:r>
    </w:p>
    <w:p w14:paraId="791BF7C2" w14:textId="77777777" w:rsidR="00DE5898" w:rsidRPr="0005106C" w:rsidRDefault="00DE5898">
      <w:pPr>
        <w:pStyle w:val="Standard"/>
        <w:rPr>
          <w:rFonts w:asciiTheme="minorBidi" w:hAnsiTheme="minorBidi" w:cstheme="minorBidi"/>
        </w:rPr>
      </w:pPr>
    </w:p>
    <w:p w14:paraId="40FCCF41" w14:textId="77777777" w:rsidR="00DE5898" w:rsidRPr="0005106C" w:rsidRDefault="0005106C">
      <w:pPr>
        <w:pStyle w:val="Standard"/>
        <w:rPr>
          <w:rFonts w:asciiTheme="minorBidi" w:hAnsiTheme="minorBidi" w:cstheme="minorBidi"/>
        </w:rPr>
      </w:pPr>
      <w:r w:rsidRPr="0005106C">
        <w:rPr>
          <w:rFonts w:asciiTheme="minorBidi" w:hAnsiTheme="minorBidi" w:cstheme="minorBidi"/>
        </w:rPr>
        <w:t>This expanded synopsis offers a deeper insight into the contractual relationship, highlig</w:t>
      </w:r>
      <w:r w:rsidRPr="0005106C">
        <w:rPr>
          <w:rFonts w:asciiTheme="minorBidi" w:hAnsiTheme="minorBidi" w:cstheme="minorBidi"/>
        </w:rPr>
        <w:t>hting the elaborate service delivery mechanisms, data protection commitments, and the financial and legal intricacies designed to support the bank's operational and compliance imperatives in its dealings with the data management service provider.</w:t>
      </w:r>
    </w:p>
    <w:sectPr w:rsidR="00DE5898" w:rsidRPr="0005106C">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9A421" w14:textId="77777777" w:rsidR="00000000" w:rsidRDefault="0005106C">
      <w:r>
        <w:separator/>
      </w:r>
    </w:p>
  </w:endnote>
  <w:endnote w:type="continuationSeparator" w:id="0">
    <w:p w14:paraId="0F6EEE11" w14:textId="77777777" w:rsidR="00000000" w:rsidRDefault="0005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oto Serif CJK SC">
    <w:charset w:val="00"/>
    <w:family w:val="auto"/>
    <w:pitch w:val="variable"/>
  </w:font>
  <w:font w:name="Noto Sans Devanagari">
    <w:charset w:val="00"/>
    <w:family w:val="swiss"/>
    <w:pitch w:val="variable"/>
    <w:sig w:usb0="80008023" w:usb1="00002046"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Noto Sans CJK SC">
    <w:charset w:val="00"/>
    <w:family w:val="auto"/>
    <w:pitch w:val="variable"/>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7BB2B" w14:textId="77777777" w:rsidR="00000000" w:rsidRDefault="0005106C">
      <w:r>
        <w:rPr>
          <w:color w:val="000000"/>
        </w:rPr>
        <w:separator/>
      </w:r>
    </w:p>
  </w:footnote>
  <w:footnote w:type="continuationSeparator" w:id="0">
    <w:p w14:paraId="0F79C443" w14:textId="77777777" w:rsidR="00000000" w:rsidRDefault="00051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E5898"/>
    <w:rsid w:val="0005106C"/>
    <w:rsid w:val="00DE589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68329"/>
  <w15:docId w15:val="{08DE4142-2362-4C8B-B552-C55BE63E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Noto Sans Devanagari"/>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Noto Sans CJK SC"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GEORGIOU SOTIRIS</cp:lastModifiedBy>
  <cp:revision>2</cp:revision>
  <dcterms:created xsi:type="dcterms:W3CDTF">2024-04-12T17:19:00Z</dcterms:created>
  <dcterms:modified xsi:type="dcterms:W3CDTF">2024-04-12T17:19:00Z</dcterms:modified>
</cp:coreProperties>
</file>